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9E" w:rsidRDefault="006E3CA7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Deaths on MV 2010-2016 due to or associated with Substance Misuse </w:t>
      </w:r>
    </w:p>
    <w:p w:rsidR="00C6369E" w:rsidRDefault="00C6369E">
      <w:pPr>
        <w:pStyle w:val="Body"/>
      </w:pPr>
    </w:p>
    <w:p w:rsidR="00C6369E" w:rsidRDefault="006E3CA7">
      <w:pPr>
        <w:pStyle w:val="Body"/>
      </w:pPr>
      <w:r>
        <w:t>Number and type of Substance Misuse Deaths, 2010-2016</w:t>
      </w:r>
    </w:p>
    <w:tbl>
      <w:tblPr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01"/>
        <w:gridCol w:w="2017"/>
        <w:gridCol w:w="1559"/>
        <w:gridCol w:w="1559"/>
        <w:gridCol w:w="1559"/>
        <w:gridCol w:w="1559"/>
      </w:tblGrid>
      <w:tr w:rsidR="00C6369E">
        <w:trPr>
          <w:trHeight w:val="279"/>
          <w:tblHeader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Year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Total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Alcohol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Drugs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Both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Pending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 xml:space="preserve"> 2 (50%)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2011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 (100%)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2012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 (50%)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2013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7 (70%)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2014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 (25%)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2015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 (45%)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2016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 (30%)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Total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rPr>
                <w:b/>
                <w:bCs/>
              </w:rPr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rPr>
                <w:b/>
                <w:bCs/>
              </w:rPr>
              <w:t>25 (54%)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rPr>
                <w:b/>
                <w:bCs/>
              </w:rPr>
              <w:t>22 (42%)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6E3CA7">
      <w:pPr>
        <w:pStyle w:val="Body"/>
      </w:pPr>
      <w:r>
        <w:t>Distribution of Age-Groups of Substance-Misuse Deaths, 2010-2016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80"/>
        <w:gridCol w:w="1028"/>
        <w:gridCol w:w="1618"/>
        <w:gridCol w:w="1950"/>
        <w:gridCol w:w="1779"/>
        <w:gridCol w:w="1800"/>
      </w:tblGrid>
      <w:tr w:rsidR="00C6369E">
        <w:trPr>
          <w:trHeight w:val="279"/>
          <w:tblHeader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Age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All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Alcohol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Drugs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Both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Pending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1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30s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40s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7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50s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60s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70s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</w:tbl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C6369E">
      <w:pPr>
        <w:pStyle w:val="Body"/>
      </w:pPr>
    </w:p>
    <w:tbl>
      <w:tblPr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79"/>
        <w:gridCol w:w="1028"/>
        <w:gridCol w:w="1618"/>
        <w:gridCol w:w="1679"/>
        <w:gridCol w:w="2050"/>
        <w:gridCol w:w="1800"/>
      </w:tblGrid>
      <w:tr w:rsidR="00C6369E">
        <w:trPr>
          <w:trHeight w:val="279"/>
          <w:tblHeader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Age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All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Alcohol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Drugs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Both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Pending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rPr>
                <w:u w:val="single"/>
              </w:rPr>
              <w:t>&lt;24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25-34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35-44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45-54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9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55-64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16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65-74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rPr>
                <w:u w:val="single"/>
              </w:rPr>
              <w:lastRenderedPageBreak/>
              <w:t>&gt;75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</w:tbl>
    <w:p w:rsidR="00C6369E" w:rsidRDefault="00C6369E">
      <w:pPr>
        <w:pStyle w:val="Body"/>
      </w:pPr>
    </w:p>
    <w:p w:rsidR="00C6369E" w:rsidRDefault="006E3CA7">
      <w:pPr>
        <w:pStyle w:val="Body"/>
      </w:pPr>
      <w:r>
        <w:t>Gender-Distribution of Substance-Misuse Deaths, 2010-2016</w:t>
      </w:r>
    </w:p>
    <w:p w:rsidR="00C6369E" w:rsidRDefault="00C6369E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72"/>
        <w:gridCol w:w="1871"/>
        <w:gridCol w:w="1871"/>
        <w:gridCol w:w="1870"/>
        <w:gridCol w:w="1871"/>
      </w:tblGrid>
      <w:tr w:rsidR="00C6369E">
        <w:trPr>
          <w:trHeight w:val="279"/>
          <w:tblHeader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Gender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Total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Alcohol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Drugs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Both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M (69%)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21 (58%)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13 (36%)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 (3%)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F (31%)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 (38%)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9 (56%)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 (6%)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Total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27 (52%)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23 (44%)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 (6%)</w:t>
            </w:r>
          </w:p>
        </w:tc>
      </w:tr>
    </w:tbl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6E3CA7">
      <w:pPr>
        <w:pStyle w:val="Body"/>
      </w:pPr>
      <w:r>
        <w:t>Substance-Misuse Deaths as a Proportion of Total Deaths on MV 2010-2016</w:t>
      </w:r>
    </w:p>
    <w:p w:rsidR="00C6369E" w:rsidRDefault="00C6369E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682"/>
        <w:gridCol w:w="2460"/>
        <w:gridCol w:w="2522"/>
        <w:gridCol w:w="2691"/>
      </w:tblGrid>
      <w:tr w:rsidR="00C6369E">
        <w:trPr>
          <w:trHeight w:val="279"/>
          <w:tblHeader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Year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Total Deaths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Substance Deaths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% of total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157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2.5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2011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158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1.9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2012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172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3.5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2013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158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6.3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2014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150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5.3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2015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140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7.9</w:t>
            </w:r>
          </w:p>
        </w:tc>
      </w:tr>
      <w:tr w:rsidR="00C6369E">
        <w:tblPrEx>
          <w:shd w:val="clear" w:color="auto" w:fill="auto"/>
        </w:tblPrEx>
        <w:trPr>
          <w:trHeight w:val="279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1"/>
              <w:jc w:val="center"/>
            </w:pPr>
            <w:r>
              <w:t>2016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6E3CA7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69E" w:rsidRDefault="00C6369E"/>
        </w:tc>
      </w:tr>
    </w:tbl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C6369E">
      <w:pPr>
        <w:pStyle w:val="Body"/>
      </w:pPr>
    </w:p>
    <w:p w:rsidR="00C6369E" w:rsidRDefault="006E3CA7">
      <w:pPr>
        <w:pStyle w:val="Body"/>
      </w:pPr>
      <w:r>
        <w:t>NOTES:</w:t>
      </w:r>
    </w:p>
    <w:p w:rsidR="00C6369E" w:rsidRDefault="006E3CA7">
      <w:pPr>
        <w:pStyle w:val="Body"/>
        <w:numPr>
          <w:ilvl w:val="0"/>
          <w:numId w:val="2"/>
        </w:numPr>
      </w:pPr>
      <w:r>
        <w:t xml:space="preserve">Source: individual Death Certificates from six towns;  </w:t>
      </w:r>
    </w:p>
    <w:p w:rsidR="00C6369E" w:rsidRDefault="006E3CA7">
      <w:pPr>
        <w:pStyle w:val="Body"/>
        <w:numPr>
          <w:ilvl w:val="0"/>
          <w:numId w:val="2"/>
        </w:numPr>
      </w:pPr>
      <w:r>
        <w:t>deaths listing chronic SA or alcoholism as “Other Significant Condition Contributing to Death” were also included;</w:t>
      </w:r>
    </w:p>
    <w:p w:rsidR="00C6369E" w:rsidRDefault="006E3CA7">
      <w:pPr>
        <w:pStyle w:val="Body"/>
        <w:numPr>
          <w:ilvl w:val="0"/>
          <w:numId w:val="2"/>
        </w:numPr>
      </w:pPr>
      <w:r>
        <w:t>of all the deaths listed, only one person was not resident on MV;</w:t>
      </w:r>
    </w:p>
    <w:p w:rsidR="00C6369E" w:rsidRDefault="006E3CA7">
      <w:pPr>
        <w:pStyle w:val="Body"/>
        <w:numPr>
          <w:ilvl w:val="0"/>
          <w:numId w:val="2"/>
        </w:numPr>
      </w:pPr>
      <w:r>
        <w:t>deaths of persons with close ties to the Vineyard but with official residence elsewhere are not included in this database;</w:t>
      </w:r>
    </w:p>
    <w:p w:rsidR="00C6369E" w:rsidRDefault="006E3CA7">
      <w:pPr>
        <w:pStyle w:val="Body"/>
        <w:numPr>
          <w:ilvl w:val="0"/>
          <w:numId w:val="2"/>
        </w:numPr>
      </w:pPr>
      <w:r>
        <w:t xml:space="preserve">if directly alcohol-attributable fractions for suicide and cirrhosis (unspecified) are added, that would add 4 additional alcohol deaths.  this does not include alcohol-attributable fractions due to motor-vehicle fatalities. </w:t>
      </w:r>
    </w:p>
    <w:p w:rsidR="00C6369E" w:rsidRDefault="00C6369E">
      <w:pPr>
        <w:pStyle w:val="Body"/>
      </w:pPr>
    </w:p>
    <w:p w:rsidR="00C6369E" w:rsidRDefault="00C6369E">
      <w:pPr>
        <w:pStyle w:val="Body"/>
      </w:pPr>
    </w:p>
    <w:sectPr w:rsidR="00C6369E" w:rsidSect="00D33C7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99" w:rsidRDefault="004F4599">
      <w:r>
        <w:separator/>
      </w:r>
    </w:p>
  </w:endnote>
  <w:endnote w:type="continuationSeparator" w:id="0">
    <w:p w:rsidR="004F4599" w:rsidRDefault="004F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9E" w:rsidRDefault="00C636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99" w:rsidRDefault="004F4599">
      <w:r>
        <w:separator/>
      </w:r>
    </w:p>
  </w:footnote>
  <w:footnote w:type="continuationSeparator" w:id="0">
    <w:p w:rsidR="004F4599" w:rsidRDefault="004F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9E" w:rsidRDefault="00C636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1475"/>
    <w:multiLevelType w:val="hybridMultilevel"/>
    <w:tmpl w:val="009A7ED8"/>
    <w:styleLink w:val="Dash"/>
    <w:lvl w:ilvl="0" w:tplc="BA106C4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C8EE2D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EC6780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D580CB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F80774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BBEA3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4C295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434E5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07E83A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91C0623"/>
    <w:multiLevelType w:val="hybridMultilevel"/>
    <w:tmpl w:val="009A7ED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9E"/>
    <w:rsid w:val="00200243"/>
    <w:rsid w:val="004F4599"/>
    <w:rsid w:val="006E3CA7"/>
    <w:rsid w:val="00C6369E"/>
    <w:rsid w:val="00D3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3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C74"/>
    <w:rPr>
      <w:u w:val="single"/>
    </w:rPr>
  </w:style>
  <w:style w:type="paragraph" w:customStyle="1" w:styleId="Body">
    <w:name w:val="Body"/>
    <w:rsid w:val="00D33C74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sid w:val="00D33C74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D33C74"/>
    <w:rPr>
      <w:rFonts w:ascii="Helvetica" w:eastAsia="Helvetica" w:hAnsi="Helvetica" w:cs="Helvetica"/>
      <w:color w:val="000000"/>
    </w:rPr>
  </w:style>
  <w:style w:type="numbering" w:customStyle="1" w:styleId="Dash">
    <w:name w:val="Dash"/>
    <w:rsid w:val="00D33C7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Lent</dc:creator>
  <cp:lastModifiedBy>VHaeselbarth</cp:lastModifiedBy>
  <cp:revision>2</cp:revision>
  <dcterms:created xsi:type="dcterms:W3CDTF">2017-10-27T15:41:00Z</dcterms:created>
  <dcterms:modified xsi:type="dcterms:W3CDTF">2017-10-27T15:41:00Z</dcterms:modified>
</cp:coreProperties>
</file>